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46" w:rsidRPr="00993046" w:rsidRDefault="00993046" w:rsidP="00993046">
      <w:pPr>
        <w:pStyle w:val="a3"/>
        <w:rPr>
          <w:rFonts w:ascii="Arial" w:hAnsi="Arial" w:cs="Arial"/>
          <w:color w:val="000000"/>
          <w:szCs w:val="20"/>
          <w:lang w:val="uk-UA"/>
        </w:rPr>
      </w:pPr>
      <w:r w:rsidRPr="00993046">
        <w:rPr>
          <w:rFonts w:ascii="Arial" w:hAnsi="Arial" w:cs="Arial"/>
          <w:color w:val="000000"/>
          <w:szCs w:val="20"/>
          <w:lang w:val="uk-UA"/>
        </w:rPr>
        <w:t xml:space="preserve">Тема: </w:t>
      </w:r>
      <w:r w:rsidRPr="00993046">
        <w:rPr>
          <w:sz w:val="32"/>
          <w:lang w:val="uk-UA"/>
        </w:rPr>
        <w:t>Раціональне використання паливо- мастильних матеріалів.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Затрати на паливно-мастильні матеріали на автомобільному транспорті досягають 30 ... 35 % від загальних затрат на одиницю транспортної роботи. Зниження цих затрат дозволяє покращити економічні показники роботи автотранспортних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ідприємств.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Втрати ПММ можуть бути кількісні і якісні. Першу групу становлять втрати зумовлені, використанням паливно-мастильних матеріалів не за призначенням, витіканням, розливанням,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ідтіканням палива з несправного устаткування, залишками в тарі і трубах після зливання ПММ, порушенням технічного стану машин, нераціональною організацією їх використання. До другої групи належать втрати зумовлені хімічними, фізичними і фізико-хімічними процесами, що протікають у паливах 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оливах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Незадовільний стан і несвоєчасне технічне обслуговування складів ПММ та заправних засобів призводять до втрат дизельного палива в межах 2,0 ... 3,5 %, бензину – 3,0 ... 3,5 %, моторних олив – 5... 6 %.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Студенту необхідно ознайомитися з методами зменшення втрат палива при зберіганні (мале і велике „дихання” резервуарів,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ідземне зберігання палива), а також при експлуатації автомобілів (правильна організація перевезення вантажу, підвищення коефіцієнту використання пробігу, вдосконалення робочих процесів у двигунах, впорскування палива з електронним керуванням, турбонадув повітря, підбір передаточних чисел трансмісії, кваліфікація водія, тепловий режим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двигуна та інш.)</w:t>
      </w:r>
      <w:proofErr w:type="gramEnd"/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Загальна втрата оливи залежить від схеми руху її від ємності до автомобіля і становить 0,5…6,5% для моторних та 1,2…17,5% для трансмісійних олив. Зарубіжний досвід показу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є,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що кращим способом є зберігання олив у пластмасових контейнерах невеликої місткості (1…10л).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Втрата оливи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 час експлуатації двигуна відбувається з двох причин: від вигару та заміни оливи. Кількість вигару оливи,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свою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чергу, залежить від доскональності конструкції двигуна, його технічного стану, якості оливи (в’язкості) і умов екплуатації автомобіля. Завдяки вдасконаленню конструкції двигуна, зокрема циліндропоршневої групи та системи мащення, втрати оливи за останню 20…30років зменшилися вдвічі, а палива - в 2,0…2,5рази. Періодичність заміни оливи залежить від досконалості фільтрації та умов експлуатації двигуна, зокрема від запиленості повітря, навантаження і стабільності показників роботи автомобіля. Масові товарні оливи при відповідному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івні обслуговування машин працюють без заміни до 10 тис.км пробігу, а спеціальні – до 25 тис.км і більше.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Таким чином, економічний ефект досягається не тільки завдяки зменшенню втрати оливи,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 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поліпшенню її якості.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Втрата пластичних мастил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інках і днищі тари становить 0,8…1,1%. Велику втрату зумовлює налипання мастила на пресмасльонки, штуцери, трубки та інше.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Загальна втрата пластичних мастил може досягти 5…16%. Істотно знижується втрата пластичних мастил при зберіганні їх у герметичній тарі та застосуванні спеціальних пристрої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 нагнітання мастил у змащувальні вузли.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використання мастил та їх витрату істотно впливають властивості, зокрема колоїдна стабільність. Пластичні мастила на літієвих загусниках при надійній герметизації вузлів тертя можуть працювати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заміни кілька років. Ще краще зарекомендували себе синтетичні та тверді мастила. Застосування тривало працюючих мастильних матеріалів забезпечує економічний ефект не тільки завдяки економії матеріалів,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 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внаслідок зниження трудових витрат при технічному обслуговуванні автомобілів.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Необхідно уяснити, які існують джерела зменшення витрати мастильних матеріалів 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чому полягає регенерація олив.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У випадках, коли палива, оливи і спеціальні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ідини втратили кондиційність в процесі транспортування або зберігання їх не можна використовувати за прямим призначенням, але в окремих випадках їх якість може бути відновлена.</w:t>
      </w:r>
    </w:p>
    <w:p w:rsidR="00993046" w:rsidRDefault="00993046" w:rsidP="0099304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Основним способом відновлення якості палив є змішування їх із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іжими, які мають запас якості за окремими показниками.</w:t>
      </w:r>
    </w:p>
    <w:p w:rsidR="00963E64" w:rsidRDefault="00963E64">
      <w:pPr>
        <w:rPr>
          <w:lang w:val="uk-UA"/>
        </w:rPr>
      </w:pPr>
    </w:p>
    <w:p w:rsidR="00D234D3" w:rsidRPr="00D234D3" w:rsidRDefault="00D234D3" w:rsidP="00D234D3">
      <w:pPr>
        <w:pStyle w:val="1"/>
        <w:shd w:val="clear" w:color="auto" w:fill="FFFFFF"/>
        <w:spacing w:before="0" w:beforeAutospacing="0" w:after="0" w:afterAutospacing="0" w:line="476" w:lineRule="atLeast"/>
        <w:textAlignment w:val="baseline"/>
        <w:rPr>
          <w:rFonts w:ascii="Helvetica" w:hAnsi="Helvetica" w:cs="Helvetica"/>
          <w:b w:val="0"/>
          <w:bCs w:val="0"/>
          <w:color w:val="333333"/>
          <w:sz w:val="38"/>
          <w:szCs w:val="38"/>
        </w:rPr>
      </w:pPr>
      <w:r w:rsidRPr="00D234D3">
        <w:rPr>
          <w:sz w:val="40"/>
          <w:szCs w:val="40"/>
          <w:lang w:val="uk-UA"/>
        </w:rPr>
        <w:t>Тема:</w:t>
      </w:r>
      <w:r w:rsidRPr="00D234D3">
        <w:rPr>
          <w:rFonts w:ascii="Helvetica" w:hAnsi="Helvetica" w:cs="Helvetica"/>
          <w:b w:val="0"/>
          <w:bCs w:val="0"/>
          <w:color w:val="333333"/>
          <w:sz w:val="38"/>
          <w:szCs w:val="38"/>
        </w:rPr>
        <w:t xml:space="preserve"> Види норм витрат палива і мастильних матеріалів</w:t>
      </w:r>
    </w:p>
    <w:p w:rsidR="00993046" w:rsidRPr="00D234D3" w:rsidRDefault="00993046">
      <w:pPr>
        <w:rPr>
          <w:sz w:val="40"/>
          <w:szCs w:val="40"/>
        </w:rPr>
      </w:pP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ля автомобілів встановлюються такі види норм витрат палива: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базова лінійна норма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проб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іг автомобіля — на 100 км;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виконання транспортної роботи</w:t>
      </w:r>
      <w:r>
        <w:rPr>
          <w:rFonts w:ascii="Helvetica" w:hAnsi="Helvetica" w:cs="Helvetica"/>
          <w:color w:val="333333"/>
          <w:sz w:val="20"/>
          <w:szCs w:val="20"/>
        </w:rPr>
        <w:t> (враховує додаткові витрати палива при рус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і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автомобіля з вантажем) — на 100 тонно-кілометрів (т • км);</w:t>
      </w:r>
      <w:proofErr w:type="gramEnd"/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одну тонну спорядженої маси H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vertAlign w:val="subscript"/>
        </w:rPr>
        <w:t>g</w:t>
      </w:r>
      <w:r>
        <w:rPr>
          <w:rFonts w:ascii="Helvetica" w:hAnsi="Helvetica" w:cs="Helvetica"/>
          <w:color w:val="333333"/>
          <w:sz w:val="20"/>
          <w:szCs w:val="20"/>
        </w:rPr>
        <w:t xml:space="preserve"> (враховує додаткові витрати палива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 зм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іні спорядженої маси автомобіля, причепа або напівпричепа);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їздку з вантажем</w:t>
      </w:r>
      <w:r>
        <w:rPr>
          <w:rFonts w:ascii="Helvetica" w:hAnsi="Helvetica" w:cs="Helvetica"/>
          <w:color w:val="333333"/>
          <w:sz w:val="20"/>
          <w:szCs w:val="20"/>
        </w:rPr>
        <w:t> (враховує збільшення витрат палива, пов’язане з маневруванням та виконанням операцій завантаження і розвантаження) — на одну їздку;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норма </w:t>
      </w:r>
      <w:proofErr w:type="gramStart"/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на</w:t>
      </w:r>
      <w:proofErr w:type="gramEnd"/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проб</w:t>
      </w:r>
      <w:proofErr w:type="gramEnd"/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іг при виконанні спеціальної роботи</w:t>
      </w:r>
      <w:r>
        <w:rPr>
          <w:rFonts w:ascii="Helvetica" w:hAnsi="Helvetica" w:cs="Helvetica"/>
          <w:color w:val="333333"/>
          <w:sz w:val="20"/>
          <w:szCs w:val="20"/>
        </w:rPr>
        <w:t> — на 100 км;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роботу спеціального обладнання</w:t>
      </w:r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встановленого на автомобілях, — на годину або на виконану операцію;</w:t>
      </w:r>
      <w:proofErr w:type="gramEnd"/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—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базова норма на роботу </w:t>
      </w:r>
      <w:proofErr w:type="gramStart"/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автономного</w:t>
      </w:r>
      <w:proofErr w:type="gramEnd"/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(незалежного) обігрівача 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— на одну годину його роботи.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1.2 Базова лінійна норма H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vertAlign w:val="subscript"/>
        </w:rPr>
        <w:t>s</w:t>
      </w:r>
      <w:r>
        <w:rPr>
          <w:rFonts w:ascii="Helvetica" w:hAnsi="Helvetica" w:cs="Helvetica"/>
          <w:color w:val="333333"/>
          <w:sz w:val="20"/>
          <w:szCs w:val="20"/>
        </w:rPr>
        <w:t> встановлюється: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для вантажних автомобілів (за винятком самоскидів) — у спорядженому стані;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для легкових автомобілів і автобусів (повна маса яких не перевищує 3,5 т) та самоскидів — з половиною навантаження;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—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для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автобусів (повна маса яких перевищує 3,5 т) — з повним навантаженням (повною масою);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для вантажопасажирських автомобілів — у спорядженому стані з половиною маси пасажирі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Базові лінійні норми по типах автомобілів наведені в таблицях додатків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і Б в розрізі моделей (модифікацій) автомобілів в алфавітному порядку (за українським та латинським алфавітом).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У зв’язку з тим, що більшість сучасних автомобілів мають багатоваріантне конструктивне виконання (комплектація однієї моделі автомобіля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ізними моделями двигуна, коробки передач, головної передачі, тощо), новорозроблені та переглянуті 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починаючи з 1997 року</w:t>
      </w:r>
      <w:r>
        <w:rPr>
          <w:rFonts w:ascii="Helvetica" w:hAnsi="Helvetica" w:cs="Helvetica"/>
          <w:color w:val="333333"/>
          <w:sz w:val="20"/>
          <w:szCs w:val="20"/>
        </w:rPr>
        <w:t> базові лінійні норми наведені в окремих таблицях з зазначенням технічних даних та особливостей конструктивного виконання моделей (модифікацій) транспортних засобі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, які дозволяють їх ідентифікувати.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Ц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і норми поширюються лише на моделі (модифікації) автомобілів з зазначеними технічними даними та особливостями конструктивного виконання.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Базові лінійні норми витрат палива встановлені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таких одиницях вимірювання: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для бензинових, дизельних автомобілі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автомобілів, що працюють на зрідженому (скрапленому) нафтовому газі, — у літрах на 100 км пробігу (л/100 км);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для автомобілів, що працюють на стисненому природному газі, — в нормальних кубічних метрах на 100 км (м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vertAlign w:val="superscript"/>
        </w:rPr>
        <w:t>3</w:t>
      </w:r>
      <w:r>
        <w:rPr>
          <w:rFonts w:ascii="Helvetica" w:hAnsi="Helvetica" w:cs="Helvetica"/>
          <w:color w:val="333333"/>
          <w:sz w:val="20"/>
          <w:szCs w:val="20"/>
        </w:rPr>
        <w:t>/100 км);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для газодизельних автомобілів норми витрат стисненого природного газу наведені в таблицях в м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vertAlign w:val="superscript"/>
        </w:rPr>
        <w:t>3</w:t>
      </w:r>
      <w:r>
        <w:rPr>
          <w:rFonts w:ascii="Helvetica" w:hAnsi="Helvetica" w:cs="Helvetica"/>
          <w:color w:val="333333"/>
          <w:sz w:val="20"/>
          <w:szCs w:val="20"/>
        </w:rPr>
        <w:t>/100 км, а дизельного палива — поруч в л/100 км.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Норми витрат дизельного палива відмічені індексом «д», поставленим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ісля цифрового значення норм, зрідженого нафтового газу — індексом «знг», стисненого природного газу — «спг». Для газобалонних автомобілів (ГБА) в дужках зазначена норма при роботі на бензині, для газодизельних (ГДА) — на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дизельному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паливі.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переліку моделей автомобілів виключені ті, виробництво яких припинено 25 і більше років тому. При необхідності розрахунку нормативних витрат палива на автомобілі цих моделей застосовуються коригуючі коефіцієнти та формули розрахунків згідно з цим нормативним документом, а базові лінійні норми згідно з Нормами витрат палива і мастильних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матер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іалів на автомобільному транспорті, затвердженими наказом Мінтрансу України № 179 від 03.05.95 р.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1.3 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виконання транспортної роботи H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vertAlign w:val="subscript"/>
        </w:rPr>
        <w:t>w</w:t>
      </w:r>
      <w:r>
        <w:rPr>
          <w:rFonts w:ascii="Helvetica" w:hAnsi="Helvetica" w:cs="Helvetica"/>
          <w:color w:val="333333"/>
          <w:sz w:val="20"/>
          <w:szCs w:val="20"/>
        </w:rPr>
        <w:t xml:space="preserve"> застосовується для бортових вантажних автомобілів і сідельних тягачів у складі автопоїздів, автомобілів-фургонів та вантажопасажирських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автомобілів, які виконують роботу, що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обл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іковується в тонно-кілометрах (може застосовуватись для легкових автомобілів і автобусів з причепами, які виконують транспортну роботу, що облі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ковується в тонно-кілометрах).</w:t>
      </w:r>
      <w:proofErr w:type="gramEnd"/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Гранично допустимі (максимальні) норми на виконання транспортної роботи </w:t>
      </w: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Hw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залежно від виду палива становлять: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— бензин — 2,0 л/100 т • км;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— дизельне паливо — 1,3 л/100 т • км.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При роботі за межами міста на дорогах із твердим покриттям (дорогах із асфальтобетону, цементобетону) в умовах, що не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п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ідпадають під застосування коригуючих коефіцієнтів, зазначених у пп. 3.1.1.2, 3.1.2, 3.1.3–3.1.8, 3.1.15, гранично допустимі норми на виконання транспортної роботи </w:t>
      </w: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Hw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залежно від виду палива становлять: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— бензин — 1,4 л/100 т • км;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— дизельне паливо — 0,9 л/100 т • км.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Примітка 1. 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У разі живлення двигуна іншими видами палив, зокрема зрідженим нафтовим газом (ЗНГ), стисненим природним газом (СПГ), у тому числі в разі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газодизельного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 живлення, до наведених в цьому пункті норм застосовуються перевідні коефіцієнти відповідно до пп. 2.1.4.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Примітка 2.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При здійсненні магістральних перевезень сучасними вантажними автомобілями рекомендується застосовувати норму на транспортну роботу в межах 0,55 ... 0,7 л дизельного палива на 100 т • км.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Фактичні витрати палива на виконання транспортної роботи збільшуються в умовах експлуатації, що включають здійснення великої кількості зупинок і фаз розгону-вибігу-гальмування на одиницю шляху,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п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ідвищений опір коченню (неякісне дорожнє покриття, дороги із щебеню (гравію), ґрунтові дороги тощо), горбистий рельєф місцевості.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Примітка 3. 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Більші значення норм на виконання транспортної роботи (що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п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ідпадають під застосування коригуючих коефіцієнтів, зазначених у пп. 3.1.1.2, 3.1.2, 3.1.3, 3.1.5–3.1.8, 3.1.15) при роботі за межами міста використовуються на частину маршруту з відповідними умовами руху, що повинно бути належним чином задокументовано (записами відповідальних осіб у дорожніх листах та/або інших звітних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документах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).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Примітка 4. 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Право встановлення конкретних величин норм витрат палива на виконання транспортної роботи у регламентованих межах надається керівникам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п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ідприємств.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Визначений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п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ідприємством порядок встановлення та використання норм витрат палива на виконання транспортної роботи затверджується наказом (розпорядженням) по підприємству.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Рекомендовано диференційоване використання норм витрат палива на виконання транспортної роботи залежно від умов здійснення перевезень і технологічного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р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івня (паливної економічності) рухомого складу та відповідно до фактичних потреб.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1.4 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одну тонну спорядженої маси</w:t>
      </w: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 Hg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(автопоїзда, автомобіля, причепа або напівпричепа тощо) застосовується в разі зміни спорядженої маси автомобіля. Норми на одну тонну спорядженої маси</w:t>
      </w:r>
      <w:r>
        <w:rPr>
          <w:rStyle w:val="changes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Hg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(л/100 т • км) залежно від виду палива дорівнюють відповідним нормам на виконання транспортної роботи згідно з пп. 1.3 та використовуються так само, як і норми на виконання транспортної роботи.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1.5 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маневрування у місцях завантаження і розвантаження та виконання операції з розвантаження</w:t>
      </w: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Hz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 застосовується для автомобілів-самоскидів і автопоїздів з самоскидальними кузовами та враховує збільшення витрат палива, пов’язане з маневруванням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у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 місцях завантаження і розвантаження та виконанням операції з розвантаження. </w:t>
      </w: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Hz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встановлена на кожну їздку з вантажем, і її максимально можливе значення розраховується залежно від вантажопідйомності автомобіля таким чином: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Hz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= 0,02 х </w:t>
      </w:r>
      <w:proofErr w:type="gramStart"/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G</w:t>
      </w:r>
      <w:proofErr w:type="gramEnd"/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в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, (1),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де: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Hz 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— норма на їздку з вантажем, лі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тр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ів дизельного палива,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G</w:t>
      </w:r>
      <w:proofErr w:type="gramEnd"/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в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 — вантажопідйомність автомобіля (т).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Примітка. 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У разі живлення двигуна бензином ця норма збільшується на 25 %. У разі живлення двигуна СПГ, ЗНГ та іншими видами палива (у тому числі в разі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газодизельного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 живлення) застосовуються перевідні коефіцієнти відповідно до пп. 2.1.4.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1.6 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роботу спеціального обладнання, встановленого на автомобілях Ноб</w:t>
      </w:r>
      <w:r>
        <w:rPr>
          <w:rFonts w:ascii="Helvetica" w:hAnsi="Helvetica" w:cs="Helvetica"/>
          <w:color w:val="333333"/>
          <w:sz w:val="20"/>
          <w:szCs w:val="20"/>
        </w:rPr>
        <w:t xml:space="preserve"> застосовується для спеціальних та спеціалізованих автомобілів, які виконують спеціальні роботи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ід час стоянки (автокрани, компресорні, бурильні установки, тощо). Норми на роботу спеціального обладнання в літрах на годину роботи обладнання або в літрах на одну технологічну операцію наведені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таблиці Б.1 додатка Б.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1.7 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на пробіг при виконанні спеціальної роботи H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vertAlign w:val="subscript"/>
        </w:rPr>
        <w:t>sc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застосовується для спеціальних та спеціалізованих автомобілів, які виконують спеціальні роботи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ід час руху (снігоочисники, поливомиєчні, тощо). Норми на пробіг при виконанні спеціальної роботи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моделях спецавтомобілів наведені разом з лінійними нормами на пробіг без виконання спеціальної роботи в таблиці Б.2 додатка Б.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lastRenderedPageBreak/>
        <w:t>1.8 </w:t>
      </w:r>
      <w:r>
        <w:rPr>
          <w:rStyle w:val="a6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Норма витрати палива на роботу автономного (незалежного) обігрівача </w:t>
      </w:r>
      <w:proofErr w:type="gramStart"/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H</w:t>
      </w:r>
      <w:proofErr w:type="gramEnd"/>
      <w:r>
        <w:rPr>
          <w:rStyle w:val="a6"/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</w:rPr>
        <w:t>он</w:t>
      </w: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 xml:space="preserve"> застосовується для автомобілів та іншої техніки на колісному шасі, обладнаних автономними обігрівачами. У додатку Г </w:t>
      </w: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наведен</w:t>
      </w:r>
      <w:proofErr w:type="gramEnd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і базові норми витрат палива автономними обігрівачами на одну годину роботи обігрівача.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Нормативна витрата палива на роботу автономного обігрівача встановлюється у відсотках від базової норми витрати на одну годину роботи обігрівача (що відповідає його номінальній потужності) залежно від фактичної температури повітря навколишнього середовища в холодну пору року (відсоток використання потужності обігрівача):</w:t>
      </w:r>
      <w:proofErr w:type="gramEnd"/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нижче ніж +15 °C та до +5 °C включно — до 20 %;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нижче ніж +5 °C та до -5 °C включно — до 40 %;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нижче ніж -5 °C та до -15 °C включно — до 60 %;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нижче ніж -15 °C та до -25 °C включно — до 80 %;</w:t>
      </w:r>
    </w:p>
    <w:p w:rsidR="00D234D3" w:rsidRDefault="00D234D3" w:rsidP="00D234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hanges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BCF5D6"/>
        </w:rPr>
        <w:t>нижче ніж -25 °C — до 100 %.</w:t>
      </w:r>
    </w:p>
    <w:p w:rsidR="00D234D3" w:rsidRPr="00D234D3" w:rsidRDefault="00D234D3">
      <w:pPr>
        <w:rPr>
          <w:sz w:val="36"/>
        </w:rPr>
      </w:pPr>
    </w:p>
    <w:sectPr w:rsidR="00D234D3" w:rsidRPr="00D234D3" w:rsidSect="009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993046"/>
    <w:rsid w:val="00963E64"/>
    <w:rsid w:val="00993046"/>
    <w:rsid w:val="00D2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64"/>
  </w:style>
  <w:style w:type="paragraph" w:styleId="1">
    <w:name w:val="heading 1"/>
    <w:basedOn w:val="a"/>
    <w:link w:val="10"/>
    <w:uiPriority w:val="9"/>
    <w:qFormat/>
    <w:rsid w:val="00D2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9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3046"/>
    <w:pPr>
      <w:spacing w:after="0" w:line="240" w:lineRule="auto"/>
    </w:pPr>
  </w:style>
  <w:style w:type="character" w:styleId="a6">
    <w:name w:val="Strong"/>
    <w:basedOn w:val="a0"/>
    <w:uiPriority w:val="22"/>
    <w:qFormat/>
    <w:rsid w:val="00D234D3"/>
    <w:rPr>
      <w:b/>
      <w:bCs/>
    </w:rPr>
  </w:style>
  <w:style w:type="character" w:customStyle="1" w:styleId="changes">
    <w:name w:val="changes"/>
    <w:basedOn w:val="a0"/>
    <w:rsid w:val="00D234D3"/>
  </w:style>
  <w:style w:type="character" w:customStyle="1" w:styleId="10">
    <w:name w:val="Заголовок 1 Знак"/>
    <w:basedOn w:val="a0"/>
    <w:link w:val="1"/>
    <w:uiPriority w:val="9"/>
    <w:rsid w:val="00D234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1910</Words>
  <Characters>10892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2020-03-23T07:14:00Z</dcterms:created>
  <dcterms:modified xsi:type="dcterms:W3CDTF">2020-09-03T11:24:00Z</dcterms:modified>
</cp:coreProperties>
</file>